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4D92"/>
          <w:sz w:val="40"/>
        </w:rPr>
        <w:t>ENIX SARL</w:t>
      </w:r>
    </w:p>
    <w:p>
      <w:pPr>
        <w:jc w:val="center"/>
      </w:pPr>
      <w:r>
        <w:rPr>
          <w:b/>
          <w:sz w:val="28"/>
        </w:rPr>
        <w:t>Formulaire de qualification — MSSP — Managed Security Service Provider</w:t>
      </w:r>
    </w:p>
    <w:p>
      <w:pPr>
        <w:jc w:val="center"/>
      </w:pPr>
      <w:r>
        <w:rPr>
          <w:i/>
          <w:sz w:val="20"/>
        </w:rPr>
        <w:t>Infogérance sécurité complète, gestion du firewall, patch management, veille CTI</w:t>
      </w:r>
    </w:p>
    <w:p>
      <w:pPr>
        <w:jc w:val="center"/>
      </w:pPr>
      <w:r>
        <w:rPr>
          <w:color w:val="555555"/>
          <w:sz w:val="18"/>
        </w:rPr>
        <w:t>À renvoyer rempli à : sales@enix.cm  —  www.enixcompany.com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color w:val="0B4D92"/>
        </w:rPr>
        <w:t>1. Vos coordonnées</w:t>
      </w:r>
    </w:p>
    <w:p>
      <w:r>
        <w:rPr>
          <w:b/>
          <w:sz w:val="22"/>
        </w:rPr>
        <w:t>Nom de l'organisme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Personne de contact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Fonction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Email professionnel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Téléphone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Site web / réseaux sociaux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Adresse / ville / pays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2. Votre environnement IT</w:t>
      </w:r>
    </w:p>
    <w:p>
      <w:r>
        <w:rPr>
          <w:b/>
          <w:sz w:val="22"/>
        </w:rPr>
        <w:t>Taille de l'entreprise</w:t>
      </w:r>
    </w:p>
    <w:p>
      <w:pPr>
        <w:ind w:left="454"/>
      </w:pPr>
      <w:r>
        <w:t>☐  TPE (&lt; 10)</w:t>
      </w:r>
    </w:p>
    <w:p>
      <w:pPr>
        <w:ind w:left="454"/>
      </w:pPr>
      <w:r>
        <w:t>☐  PE (10-50)</w:t>
      </w:r>
    </w:p>
    <w:p>
      <w:pPr>
        <w:ind w:left="454"/>
      </w:pPr>
      <w:r>
        <w:t>☐  ME (50-250)</w:t>
      </w:r>
    </w:p>
    <w:p>
      <w:pPr>
        <w:ind w:left="454"/>
      </w:pPr>
      <w:r>
        <w:t>☐  Grande entreprise (&gt; 250)</w:t>
      </w:r>
    </w:p>
    <w:p/>
    <w:p>
      <w:r>
        <w:rPr>
          <w:b/>
          <w:sz w:val="22"/>
        </w:rPr>
        <w:t>Nombre de sites géographiques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Nombre d'utilisateurs IT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3. Prestations MSSP souhaitées</w:t>
      </w:r>
    </w:p>
    <w:p>
      <w:r>
        <w:rPr>
          <w:b/>
          <w:sz w:val="22"/>
        </w:rPr>
        <w:t>Services à externaliser</w:t>
      </w:r>
    </w:p>
    <w:p>
      <w:pPr>
        <w:ind w:left="454"/>
      </w:pPr>
      <w:r>
        <w:t>☐  Gestion du pare-feu (firewall)</w:t>
      </w:r>
    </w:p>
    <w:p>
      <w:pPr>
        <w:ind w:left="454"/>
      </w:pPr>
      <w:r>
        <w:t>☐  VPN et accès distant</w:t>
      </w:r>
    </w:p>
    <w:p>
      <w:pPr>
        <w:ind w:left="454"/>
      </w:pPr>
      <w:r>
        <w:t>☐  Antivirus / EDR managé</w:t>
      </w:r>
    </w:p>
    <w:p>
      <w:pPr>
        <w:ind w:left="454"/>
      </w:pPr>
      <w:r>
        <w:t>☐  Filtrage web / proxy</w:t>
      </w:r>
    </w:p>
    <w:p>
      <w:pPr>
        <w:ind w:left="454"/>
      </w:pPr>
      <w:r>
        <w:t>☐  Anti-spam / anti-phishing</w:t>
      </w:r>
    </w:p>
    <w:p>
      <w:pPr>
        <w:ind w:left="454"/>
      </w:pPr>
      <w:r>
        <w:t>☐  Patch management</w:t>
      </w:r>
    </w:p>
    <w:p>
      <w:pPr>
        <w:ind w:left="454"/>
      </w:pPr>
      <w:r>
        <w:t>☐  Sauvegarde et restauration</w:t>
      </w:r>
    </w:p>
    <w:p>
      <w:pPr>
        <w:ind w:left="454"/>
      </w:pPr>
      <w:r>
        <w:t>☐  Gestion des identités (IAM, MFA)</w:t>
      </w:r>
    </w:p>
    <w:p>
      <w:pPr>
        <w:ind w:left="454"/>
      </w:pPr>
      <w:r>
        <w:t>☐  Veille CTI / threat intel</w:t>
      </w:r>
    </w:p>
    <w:p>
      <w:pPr>
        <w:ind w:left="454"/>
      </w:pPr>
      <w:r>
        <w:t>☐  Tests de phishing / sensibilisation</w:t>
      </w:r>
    </w:p>
    <w:p>
      <w:pPr>
        <w:ind w:left="454"/>
      </w:pPr>
      <w:r>
        <w:t>☐  Gestion SIEM (avec SOC)</w:t>
      </w:r>
    </w:p>
    <w:p>
      <w:pPr>
        <w:ind w:left="454"/>
      </w:pPr>
      <w:r>
        <w:t>☐  Audit de conformité régulier</w:t>
      </w:r>
    </w:p>
    <w:p/>
    <w:p>
      <w:pPr>
        <w:pStyle w:val="Heading2"/>
      </w:pPr>
      <w:r>
        <w:rPr>
          <w:color w:val="0B4D92"/>
        </w:rPr>
        <w:t>4. Infrastructure actuelle</w:t>
      </w:r>
    </w:p>
    <w:p>
      <w:r>
        <w:rPr>
          <w:b/>
          <w:sz w:val="22"/>
        </w:rPr>
        <w:t>Équipements de sécurité en place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Pare-feu principal (marque / modèle)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Antivirus / EDR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Infrastructure hébergée</w:t>
      </w:r>
    </w:p>
    <w:p>
      <w:pPr>
        <w:ind w:left="454"/>
      </w:pPr>
      <w:r>
        <w:t>☐  On-premise</w:t>
      </w:r>
    </w:p>
    <w:p>
      <w:pPr>
        <w:ind w:left="454"/>
      </w:pPr>
      <w:r>
        <w:t>☐  Cloud AWS</w:t>
      </w:r>
    </w:p>
    <w:p>
      <w:pPr>
        <w:ind w:left="454"/>
      </w:pPr>
      <w:r>
        <w:t>☐  Cloud Azure</w:t>
      </w:r>
    </w:p>
    <w:p>
      <w:pPr>
        <w:ind w:left="454"/>
      </w:pPr>
      <w:r>
        <w:t>☐  Cloud GCP</w:t>
      </w:r>
    </w:p>
    <w:p>
      <w:pPr>
        <w:ind w:left="454"/>
      </w:pPr>
      <w:r>
        <w:t>☐  Hybride</w:t>
      </w:r>
    </w:p>
    <w:p>
      <w:pPr>
        <w:ind w:left="454"/>
      </w:pPr>
      <w:r>
        <w:t>☐  Hébergeur local (OVH, ENIX, autre)</w:t>
      </w:r>
    </w:p>
    <w:p/>
    <w:p>
      <w:pPr>
        <w:pStyle w:val="Heading2"/>
      </w:pPr>
      <w:r>
        <w:rPr>
          <w:color w:val="0B4D92"/>
        </w:rPr>
        <w:t>5. Niveau de service (SLA)</w:t>
      </w:r>
    </w:p>
    <w:p>
      <w:r>
        <w:rPr>
          <w:b/>
          <w:sz w:val="22"/>
        </w:rPr>
        <w:t>Couverture horaire</w:t>
      </w:r>
    </w:p>
    <w:p>
      <w:pPr>
        <w:ind w:left="454"/>
      </w:pPr>
      <w:r>
        <w:t>☐  8/5 ouvré</w:t>
      </w:r>
    </w:p>
    <w:p>
      <w:pPr>
        <w:ind w:left="454"/>
      </w:pPr>
      <w:r>
        <w:t>☐  24/7 complet</w:t>
      </w:r>
    </w:p>
    <w:p>
      <w:pPr>
        <w:ind w:left="454"/>
      </w:pPr>
      <w:r>
        <w:t>☐  À discuter</w:t>
      </w:r>
    </w:p>
    <w:p/>
    <w:p>
      <w:r>
        <w:rPr>
          <w:b/>
          <w:sz w:val="22"/>
        </w:rPr>
        <w:t>Engagement de disponibilité</w:t>
      </w:r>
    </w:p>
    <w:p>
      <w:pPr>
        <w:ind w:left="454"/>
      </w:pPr>
      <w:r>
        <w:t>☐  99 %</w:t>
      </w:r>
    </w:p>
    <w:p>
      <w:pPr>
        <w:ind w:left="454"/>
      </w:pPr>
      <w:r>
        <w:t>☐  99,5 %</w:t>
      </w:r>
    </w:p>
    <w:p>
      <w:pPr>
        <w:ind w:left="454"/>
      </w:pPr>
      <w:r>
        <w:t>☐  99,9 %</w:t>
      </w:r>
    </w:p>
    <w:p>
      <w:pPr>
        <w:ind w:left="454"/>
      </w:pPr>
      <w:r>
        <w:t>☐  99,99 %</w:t>
      </w:r>
    </w:p>
    <w:p/>
    <w:p>
      <w:r>
        <w:rPr>
          <w:b/>
          <w:sz w:val="22"/>
        </w:rPr>
        <w:t>Durée d'engagement souhaitée</w:t>
      </w:r>
    </w:p>
    <w:p>
      <w:pPr>
        <w:ind w:left="454"/>
      </w:pPr>
      <w:r>
        <w:t>☐  1 an</w:t>
      </w:r>
    </w:p>
    <w:p>
      <w:pPr>
        <w:ind w:left="454"/>
      </w:pPr>
      <w:r>
        <w:t>☐  3 ans</w:t>
      </w:r>
    </w:p>
    <w:p>
      <w:pPr>
        <w:ind w:left="454"/>
      </w:pPr>
      <w:r>
        <w:t>☐  5 ans</w:t>
      </w:r>
    </w:p>
    <w:p>
      <w:pPr>
        <w:ind w:left="454"/>
      </w:pPr>
      <w:r>
        <w:t>☐  À discuter</w:t>
      </w:r>
    </w:p>
    <w:p/>
    <w:p>
      <w:pPr>
        <w:pStyle w:val="Heading2"/>
      </w:pPr>
      <w:r>
        <w:rPr>
          <w:color w:val="0B4D92"/>
        </w:rPr>
        <w:t>6. Budget &amp; délai</w:t>
      </w:r>
    </w:p>
    <w:p>
      <w:r>
        <w:rPr>
          <w:b/>
          <w:sz w:val="22"/>
        </w:rPr>
        <w:t>Budget mensuel indicatif (FCFA)</w:t>
      </w:r>
    </w:p>
    <w:p>
      <w:pPr>
        <w:ind w:left="454"/>
      </w:pPr>
      <w:r>
        <w:t>☐  Moins de 500 000</w:t>
      </w:r>
    </w:p>
    <w:p>
      <w:pPr>
        <w:ind w:left="454"/>
      </w:pPr>
      <w:r>
        <w:t>☐  500k à 2M</w:t>
      </w:r>
    </w:p>
    <w:p>
      <w:pPr>
        <w:ind w:left="454"/>
      </w:pPr>
      <w:r>
        <w:t>☐  2 à 5M</w:t>
      </w:r>
    </w:p>
    <w:p>
      <w:pPr>
        <w:ind w:left="454"/>
      </w:pPr>
      <w:r>
        <w:t>☐  5 à 15M</w:t>
      </w:r>
    </w:p>
    <w:p>
      <w:pPr>
        <w:ind w:left="454"/>
      </w:pPr>
      <w:r>
        <w:t>☐  Plus de 15M</w:t>
      </w:r>
    </w:p>
    <w:p/>
    <w:p>
      <w:r>
        <w:rPr>
          <w:b/>
          <w:sz w:val="22"/>
        </w:rPr>
        <w:t>Date de bascule souhaitée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Informations complémentaires</w:t>
      </w:r>
    </w:p>
    <w:p>
      <w:r>
        <w:rPr>
          <w:b/>
          <w:sz w:val="22"/>
        </w:rPr>
        <w:t>Précisez tout contexte utile : délais, contraintes, budget indicatif, environnement existant, projets en cours, réglementations spécifiques…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Consentement RGPD / loi 2024/017</w:t>
      </w:r>
    </w:p>
    <w:p>
      <w:pPr>
        <w:ind w:left="227"/>
      </w:pPr>
      <w:r>
        <w:t>☐  J'accepte qu'ENIX SARL traite ces informations pour me recontacter au sujet de ma demande.</w:t>
      </w:r>
    </w:p>
    <w:p>
      <w:r>
        <w:rPr>
          <w:b/>
          <w:sz w:val="22"/>
        </w:rPr>
        <w:t>Date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Nom et signature</w:t>
      </w:r>
    </w:p>
    <w:p>
      <w:pPr>
        <w:ind w:left="227"/>
      </w:pPr>
      <w:r>
        <w:t>__________________________________________________________________________________________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