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0B4D92"/>
          <w:sz w:val="40"/>
        </w:rPr>
        <w:t>ENIX SARL</w:t>
      </w:r>
    </w:p>
    <w:p>
      <w:pPr>
        <w:jc w:val="center"/>
      </w:pPr>
      <w:r>
        <w:rPr>
          <w:color w:val="6C90B5"/>
          <w:sz w:val="28"/>
        </w:rPr>
        <w:t>Services stratégiques — Gouvernance &amp; transformation</w:t>
      </w:r>
    </w:p>
    <w:p>
      <w:pPr>
        <w:jc w:val="center"/>
      </w:pPr>
      <w:r>
        <w:rPr>
          <w:i/>
        </w:rPr>
        <w:t>Schéma directeur cybersécurité, conformité ISO 27001, PSSI, PCA/PRA, accompagnement DSI/RSSI.</w:t>
      </w:r>
    </w:p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shd w:val="clear" w:color="auto" w:fill="EAF2FB"/>
          </w:tcPr>
          <w:p>
            <w:r>
              <w:rPr>
                <w:b/>
              </w:rPr>
              <w:t xml:space="preserve">ℹ </w:t>
            </w:r>
            <w:r>
              <w:rPr>
                <w:sz w:val="20"/>
              </w:rPr>
              <w:t>Nos services stratégiques accompagnent les directions générales et DSI dans la structuration long terme de leur posture cyber : schéma directeur, politique de sécurité (PSSI), plan de continuité (PCA/PRA), certification ISO 27001, audit de maturité. Ce formulaire nous permet de proposer une offre cadrée à votre contexte.</w:t>
            </w:r>
          </w:p>
        </w:tc>
      </w:tr>
    </w:tbl>
    <w:p/>
    <w:p>
      <w:pPr>
        <w:spacing w:before="240" w:after="80"/>
      </w:pPr>
      <w:r>
        <w:rPr>
          <w:b/>
          <w:color w:val="0B4D92"/>
          <w:sz w:val="36"/>
        </w:rPr>
        <w:t>1. Identité de l'organisation</w:t>
      </w:r>
    </w:p>
    <w:p>
      <w:r>
        <w:rPr>
          <w:b/>
          <w:color w:val="333333"/>
          <w:sz w:val="22"/>
        </w:rPr>
        <w:t xml:space="preserve">Nom de l'organisme : </w:t>
      </w:r>
    </w:p>
    <w:p>
      <w:pPr>
        <w:spacing w:after="0"/>
      </w:pPr>
      <w:r>
        <w:rPr>
          <w:sz w:val="22"/>
        </w:rPr>
        <w:t>______________________________________________________________________</w:t>
      </w:r>
    </w:p>
    <w:p>
      <w:r>
        <w:rPr>
          <w:b/>
          <w:color w:val="333333"/>
          <w:sz w:val="22"/>
        </w:rPr>
        <w:t xml:space="preserve">Personne de contact : </w:t>
      </w:r>
    </w:p>
    <w:p>
      <w:pPr>
        <w:spacing w:after="0"/>
      </w:pPr>
      <w:r>
        <w:rPr>
          <w:sz w:val="22"/>
        </w:rPr>
        <w:t>______________________________________________________________________</w:t>
      </w:r>
    </w:p>
    <w:p>
      <w:r>
        <w:rPr>
          <w:b/>
          <w:color w:val="333333"/>
          <w:sz w:val="22"/>
        </w:rPr>
        <w:t xml:space="preserve">Fonction / Rôle : </w:t>
      </w:r>
    </w:p>
    <w:p>
      <w:pPr>
        <w:spacing w:after="0"/>
      </w:pPr>
      <w:r>
        <w:rPr>
          <w:sz w:val="22"/>
        </w:rPr>
        <w:t>______________________________________________________________________</w:t>
      </w:r>
    </w:p>
    <w:p>
      <w:r>
        <w:rPr>
          <w:b/>
          <w:color w:val="333333"/>
          <w:sz w:val="22"/>
        </w:rPr>
        <w:t xml:space="preserve">Email professionnel : </w:t>
      </w:r>
    </w:p>
    <w:p>
      <w:pPr>
        <w:spacing w:after="0"/>
      </w:pPr>
      <w:r>
        <w:rPr>
          <w:sz w:val="22"/>
        </w:rPr>
        <w:t>______________________________________________________________________</w:t>
      </w:r>
    </w:p>
    <w:p>
      <w:r>
        <w:rPr>
          <w:b/>
          <w:color w:val="333333"/>
          <w:sz w:val="22"/>
        </w:rPr>
        <w:t xml:space="preserve">Téléphone : </w:t>
      </w:r>
    </w:p>
    <w:p>
      <w:pPr>
        <w:spacing w:after="0"/>
      </w:pPr>
      <w:r>
        <w:rPr>
          <w:sz w:val="22"/>
        </w:rPr>
        <w:t>______________________________________________________________________</w:t>
      </w:r>
    </w:p>
    <w:p>
      <w:r>
        <w:rPr>
          <w:b/>
          <w:color w:val="333333"/>
          <w:sz w:val="22"/>
        </w:rPr>
        <w:t xml:space="preserve">Site web / LinkedIn : </w:t>
      </w:r>
    </w:p>
    <w:p>
      <w:pPr>
        <w:spacing w:after="0"/>
      </w:pPr>
      <w:r>
        <w:rPr>
          <w:sz w:val="22"/>
        </w:rPr>
        <w:t>______________________________________________________________________</w:t>
      </w:r>
    </w:p>
    <w:p>
      <w:r>
        <w:rPr>
          <w:b/>
          <w:color w:val="333333"/>
          <w:sz w:val="22"/>
        </w:rPr>
        <w:t xml:space="preserve">Ville : </w:t>
      </w:r>
    </w:p>
    <w:p>
      <w:pPr>
        <w:spacing w:after="0"/>
      </w:pPr>
      <w:r>
        <w:rPr>
          <w:sz w:val="22"/>
        </w:rPr>
        <w:t>______________________________________________________________________</w:t>
      </w:r>
    </w:p>
    <w:p>
      <w:r>
        <w:rPr>
          <w:b/>
          <w:color w:val="333333"/>
          <w:sz w:val="22"/>
        </w:rPr>
        <w:t xml:space="preserve">Pays (Cameroun par défaut) : </w:t>
      </w:r>
    </w:p>
    <w:p>
      <w:pPr>
        <w:spacing w:after="0"/>
      </w:pPr>
      <w:r>
        <w:rPr>
          <w:sz w:val="22"/>
        </w:rPr>
        <w:t>______________________________________________________________________</w:t>
      </w:r>
    </w:p>
    <w:p>
      <w:pPr>
        <w:spacing w:before="240" w:after="80"/>
      </w:pPr>
      <w:r>
        <w:rPr>
          <w:b/>
          <w:color w:val="0B4D92"/>
          <w:sz w:val="36"/>
        </w:rPr>
        <w:t>2. Détails du besoin</w:t>
      </w:r>
    </w:p>
    <w:p>
      <w:r>
        <w:rPr>
          <w:b/>
          <w:color w:val="333333"/>
          <w:sz w:val="22"/>
        </w:rPr>
        <w:t xml:space="preserve">Prestation stratégique souhaitée : </w:t>
      </w:r>
    </w:p>
    <w:p>
      <w:pPr>
        <w:pStyle w:val="ListBullet"/>
      </w:pPr>
      <w:r>
        <w:rPr>
          <w:sz w:val="22"/>
        </w:rPr>
        <w:t xml:space="preserve">☐ </w:t>
      </w:r>
      <w:r>
        <w:rPr>
          <w:sz w:val="22"/>
        </w:rPr>
        <w:t>Schéma directeur cybersécurité</w:t>
      </w:r>
    </w:p>
    <w:p>
      <w:pPr>
        <w:pStyle w:val="ListBullet"/>
      </w:pPr>
      <w:r>
        <w:rPr>
          <w:sz w:val="22"/>
        </w:rPr>
        <w:t xml:space="preserve">☐ </w:t>
      </w:r>
      <w:r>
        <w:rPr>
          <w:sz w:val="22"/>
        </w:rPr>
        <w:t>Politique de sécurité (PSSI)</w:t>
      </w:r>
    </w:p>
    <w:p>
      <w:pPr>
        <w:pStyle w:val="ListBullet"/>
      </w:pPr>
      <w:r>
        <w:rPr>
          <w:sz w:val="22"/>
        </w:rPr>
        <w:t xml:space="preserve">☐ </w:t>
      </w:r>
      <w:r>
        <w:rPr>
          <w:sz w:val="22"/>
        </w:rPr>
        <w:t>Analyse de risques (EBIOS RM)</w:t>
      </w:r>
    </w:p>
    <w:p>
      <w:pPr>
        <w:pStyle w:val="ListBullet"/>
      </w:pPr>
      <w:r>
        <w:rPr>
          <w:sz w:val="22"/>
        </w:rPr>
        <w:t xml:space="preserve">☐ </w:t>
      </w:r>
      <w:r>
        <w:rPr>
          <w:sz w:val="22"/>
        </w:rPr>
        <w:t>Plan de continuité (PCA/PRA)</w:t>
      </w:r>
    </w:p>
    <w:p>
      <w:pPr>
        <w:pStyle w:val="ListBullet"/>
      </w:pPr>
      <w:r>
        <w:rPr>
          <w:sz w:val="22"/>
        </w:rPr>
        <w:t xml:space="preserve">☐ </w:t>
      </w:r>
      <w:r>
        <w:rPr>
          <w:sz w:val="22"/>
        </w:rPr>
        <w:t>Accompagnement ISO 27001 (certification)</w:t>
      </w:r>
    </w:p>
    <w:p>
      <w:pPr>
        <w:pStyle w:val="ListBullet"/>
      </w:pPr>
      <w:r>
        <w:rPr>
          <w:sz w:val="22"/>
        </w:rPr>
        <w:t xml:space="preserve">☐ </w:t>
      </w:r>
      <w:r>
        <w:rPr>
          <w:sz w:val="22"/>
        </w:rPr>
        <w:t>Accompagnement RGPD / loi 2024-017</w:t>
      </w:r>
    </w:p>
    <w:p>
      <w:pPr>
        <w:pStyle w:val="ListBullet"/>
      </w:pPr>
      <w:r>
        <w:rPr>
          <w:sz w:val="22"/>
        </w:rPr>
        <w:t xml:space="preserve">☐ </w:t>
      </w:r>
      <w:r>
        <w:rPr>
          <w:sz w:val="22"/>
        </w:rPr>
        <w:t>Audit de maturité cyber</w:t>
      </w:r>
    </w:p>
    <w:p>
      <w:pPr>
        <w:pStyle w:val="ListBullet"/>
      </w:pPr>
      <w:r>
        <w:rPr>
          <w:sz w:val="22"/>
        </w:rPr>
        <w:t xml:space="preserve">☐ </w:t>
      </w:r>
      <w:r>
        <w:rPr>
          <w:sz w:val="22"/>
        </w:rPr>
        <w:t>Direction de projet cyber (DPS)</w:t>
      </w:r>
    </w:p>
    <w:p>
      <w:pPr>
        <w:pStyle w:val="ListBullet"/>
      </w:pPr>
      <w:r>
        <w:rPr>
          <w:sz w:val="22"/>
        </w:rPr>
        <w:t xml:space="preserve">☐ </w:t>
      </w:r>
      <w:r>
        <w:rPr>
          <w:sz w:val="22"/>
        </w:rPr>
        <w:t>Formation de la direction (sensibilisation)</w:t>
      </w:r>
    </w:p>
    <w:p>
      <w:pPr>
        <w:pStyle w:val="ListBullet"/>
      </w:pPr>
      <w:r>
        <w:rPr>
          <w:sz w:val="22"/>
        </w:rPr>
        <w:t xml:space="preserve">☐ </w:t>
      </w:r>
      <w:r>
        <w:rPr>
          <w:sz w:val="22"/>
        </w:rPr>
        <w:t>Autre</w:t>
      </w:r>
    </w:p>
    <w:p>
      <w:r>
        <w:rPr>
          <w:b/>
          <w:color w:val="333333"/>
          <w:sz w:val="22"/>
        </w:rPr>
        <w:t xml:space="preserve">Taille de l'organisation : </w:t>
      </w:r>
    </w:p>
    <w:p>
      <w:pPr>
        <w:pStyle w:val="ListBullet"/>
      </w:pPr>
      <w:r>
        <w:rPr>
          <w:sz w:val="22"/>
        </w:rPr>
        <w:t xml:space="preserve">☐ </w:t>
      </w:r>
      <w:r>
        <w:rPr>
          <w:sz w:val="22"/>
        </w:rPr>
        <w:t>Moins de 50 collaborateurs</w:t>
      </w:r>
    </w:p>
    <w:p>
      <w:pPr>
        <w:pStyle w:val="ListBullet"/>
      </w:pPr>
      <w:r>
        <w:rPr>
          <w:sz w:val="22"/>
        </w:rPr>
        <w:t xml:space="preserve">☐ </w:t>
      </w:r>
      <w:r>
        <w:rPr>
          <w:sz w:val="22"/>
        </w:rPr>
        <w:t>50 à 200</w:t>
      </w:r>
    </w:p>
    <w:p>
      <w:pPr>
        <w:pStyle w:val="ListBullet"/>
      </w:pPr>
      <w:r>
        <w:rPr>
          <w:sz w:val="22"/>
        </w:rPr>
        <w:t xml:space="preserve">☐ </w:t>
      </w:r>
      <w:r>
        <w:rPr>
          <w:sz w:val="22"/>
        </w:rPr>
        <w:t>200 à 500</w:t>
      </w:r>
    </w:p>
    <w:p>
      <w:pPr>
        <w:pStyle w:val="ListBullet"/>
      </w:pPr>
      <w:r>
        <w:rPr>
          <w:sz w:val="22"/>
        </w:rPr>
        <w:t xml:space="preserve">☐ </w:t>
      </w:r>
      <w:r>
        <w:rPr>
          <w:sz w:val="22"/>
        </w:rPr>
        <w:t>500 à 1000</w:t>
      </w:r>
    </w:p>
    <w:p>
      <w:pPr>
        <w:pStyle w:val="ListBullet"/>
      </w:pPr>
      <w:r>
        <w:rPr>
          <w:sz w:val="22"/>
        </w:rPr>
        <w:t xml:space="preserve">☐ </w:t>
      </w:r>
      <w:r>
        <w:rPr>
          <w:sz w:val="22"/>
        </w:rPr>
        <w:t>Plus de 1000</w:t>
      </w:r>
    </w:p>
    <w:p>
      <w:r>
        <w:rPr>
          <w:b/>
          <w:color w:val="333333"/>
          <w:sz w:val="22"/>
        </w:rPr>
        <w:t xml:space="preserve">Niveau de maturité actuel (estimation) : </w:t>
      </w:r>
    </w:p>
    <w:p>
      <w:pPr>
        <w:pStyle w:val="ListBullet"/>
      </w:pPr>
      <w:r>
        <w:rPr>
          <w:sz w:val="22"/>
        </w:rPr>
        <w:t xml:space="preserve">☐ </w:t>
      </w:r>
      <w:r>
        <w:rPr>
          <w:sz w:val="22"/>
        </w:rPr>
        <w:t>Initial (aucune structuration)</w:t>
      </w:r>
    </w:p>
    <w:p>
      <w:pPr>
        <w:pStyle w:val="ListBullet"/>
      </w:pPr>
      <w:r>
        <w:rPr>
          <w:sz w:val="22"/>
        </w:rPr>
        <w:t xml:space="preserve">☐ </w:t>
      </w:r>
      <w:r>
        <w:rPr>
          <w:sz w:val="22"/>
        </w:rPr>
        <w:t>Reproductible (bonnes pratiques de base)</w:t>
      </w:r>
    </w:p>
    <w:p>
      <w:pPr>
        <w:pStyle w:val="ListBullet"/>
      </w:pPr>
      <w:r>
        <w:rPr>
          <w:sz w:val="22"/>
        </w:rPr>
        <w:t xml:space="preserve">☐ </w:t>
      </w:r>
      <w:r>
        <w:rPr>
          <w:sz w:val="22"/>
        </w:rPr>
        <w:t>Défini (processus documentés)</w:t>
      </w:r>
    </w:p>
    <w:p>
      <w:pPr>
        <w:pStyle w:val="ListBullet"/>
      </w:pPr>
      <w:r>
        <w:rPr>
          <w:sz w:val="22"/>
        </w:rPr>
        <w:t xml:space="preserve">☐ </w:t>
      </w:r>
      <w:r>
        <w:rPr>
          <w:sz w:val="22"/>
        </w:rPr>
        <w:t>Maîtrisé (KPIs suivis)</w:t>
      </w:r>
    </w:p>
    <w:p>
      <w:pPr>
        <w:pStyle w:val="ListBullet"/>
      </w:pPr>
      <w:r>
        <w:rPr>
          <w:sz w:val="22"/>
        </w:rPr>
        <w:t xml:space="preserve">☐ </w:t>
      </w:r>
      <w:r>
        <w:rPr>
          <w:sz w:val="22"/>
        </w:rPr>
        <w:t>Optimisé (amélioration continue)</w:t>
      </w:r>
    </w:p>
    <w:p>
      <w:r>
        <w:rPr>
          <w:b/>
          <w:color w:val="333333"/>
          <w:sz w:val="22"/>
        </w:rPr>
        <w:t xml:space="preserve">Objectif ciblé à 12–18 mois : </w:t>
      </w:r>
    </w:p>
    <w:p>
      <w:pPr>
        <w:spacing w:after="0"/>
      </w:pPr>
      <w:r>
        <w:rPr>
          <w:sz w:val="22"/>
        </w:rPr>
        <w:t>______________________________________________________________________</w:t>
      </w:r>
    </w:p>
    <w:p>
      <w:pPr>
        <w:spacing w:after="0"/>
      </w:pPr>
      <w:r>
        <w:rPr>
          <w:sz w:val="22"/>
        </w:rPr>
        <w:t>______________________________________________________________________</w:t>
      </w:r>
    </w:p>
    <w:p>
      <w:pPr>
        <w:spacing w:after="0"/>
      </w:pPr>
      <w:r>
        <w:rPr>
          <w:sz w:val="22"/>
        </w:rPr>
        <w:t>______________________________________________________________________</w:t>
      </w:r>
    </w:p>
    <w:p>
      <w:pPr>
        <w:spacing w:after="0"/>
      </w:pPr>
      <w:r>
        <w:rPr>
          <w:sz w:val="22"/>
        </w:rPr>
        <w:t>______________________________________________________________________</w:t>
      </w:r>
    </w:p>
    <w:p>
      <w:r>
        <w:rPr>
          <w:b/>
          <w:color w:val="333333"/>
          <w:sz w:val="22"/>
        </w:rPr>
        <w:t xml:space="preserve">Parties prenantes déjà identifiées (cochez autant que nécessaire) : </w:t>
      </w:r>
    </w:p>
    <w:p>
      <w:pPr>
        <w:pStyle w:val="ListBullet"/>
      </w:pPr>
      <w:r>
        <w:rPr>
          <w:sz w:val="22"/>
        </w:rPr>
        <w:t xml:space="preserve">☐ </w:t>
      </w:r>
      <w:r>
        <w:rPr>
          <w:sz w:val="22"/>
        </w:rPr>
        <w:t>Direction générale / PDG</w:t>
      </w:r>
    </w:p>
    <w:p>
      <w:pPr>
        <w:pStyle w:val="ListBullet"/>
      </w:pPr>
      <w:r>
        <w:rPr>
          <w:sz w:val="22"/>
        </w:rPr>
        <w:t xml:space="preserve">☐ </w:t>
      </w:r>
      <w:r>
        <w:rPr>
          <w:sz w:val="22"/>
        </w:rPr>
        <w:t>DSI</w:t>
      </w:r>
    </w:p>
    <w:p>
      <w:pPr>
        <w:pStyle w:val="ListBullet"/>
      </w:pPr>
      <w:r>
        <w:rPr>
          <w:sz w:val="22"/>
        </w:rPr>
        <w:t xml:space="preserve">☐ </w:t>
      </w:r>
      <w:r>
        <w:rPr>
          <w:sz w:val="22"/>
        </w:rPr>
        <w:t>RSSI (ou futur RSSI)</w:t>
      </w:r>
    </w:p>
    <w:p>
      <w:pPr>
        <w:pStyle w:val="ListBullet"/>
      </w:pPr>
      <w:r>
        <w:rPr>
          <w:sz w:val="22"/>
        </w:rPr>
        <w:t xml:space="preserve">☐ </w:t>
      </w:r>
      <w:r>
        <w:rPr>
          <w:sz w:val="22"/>
        </w:rPr>
        <w:t>DPO / responsable données</w:t>
      </w:r>
    </w:p>
    <w:p>
      <w:pPr>
        <w:pStyle w:val="ListBullet"/>
      </w:pPr>
      <w:r>
        <w:rPr>
          <w:sz w:val="22"/>
        </w:rPr>
        <w:t xml:space="preserve">☐ </w:t>
      </w:r>
      <w:r>
        <w:rPr>
          <w:sz w:val="22"/>
        </w:rPr>
        <w:t>Directions métier</w:t>
      </w:r>
    </w:p>
    <w:p>
      <w:pPr>
        <w:pStyle w:val="ListBullet"/>
      </w:pPr>
      <w:r>
        <w:rPr>
          <w:sz w:val="22"/>
        </w:rPr>
        <w:t xml:space="preserve">☐ </w:t>
      </w:r>
      <w:r>
        <w:rPr>
          <w:sz w:val="22"/>
        </w:rPr>
        <w:t>Commissariat aux comptes / audit interne</w:t>
      </w:r>
    </w:p>
    <w:p>
      <w:pPr>
        <w:pStyle w:val="ListBullet"/>
      </w:pPr>
      <w:r>
        <w:rPr>
          <w:sz w:val="22"/>
        </w:rPr>
        <w:t xml:space="preserve">☐ </w:t>
      </w:r>
      <w:r>
        <w:rPr>
          <w:sz w:val="22"/>
        </w:rPr>
        <w:t>Direction juridique</w:t>
      </w:r>
    </w:p>
    <w:p>
      <w:pPr>
        <w:pStyle w:val="ListBullet"/>
      </w:pPr>
      <w:r>
        <w:rPr>
          <w:sz w:val="22"/>
        </w:rPr>
        <w:t xml:space="preserve">☐ </w:t>
      </w:r>
      <w:r>
        <w:rPr>
          <w:sz w:val="22"/>
        </w:rPr>
        <w:t>Ressources humaines</w:t>
      </w:r>
    </w:p>
    <w:p>
      <w:r>
        <w:rPr>
          <w:b/>
          <w:color w:val="333333"/>
          <w:sz w:val="22"/>
        </w:rPr>
        <w:t xml:space="preserve">Contraintes sectorielles / réglementaires (cochez autant que nécessaire) : </w:t>
      </w:r>
    </w:p>
    <w:p>
      <w:pPr>
        <w:pStyle w:val="ListBullet"/>
      </w:pPr>
      <w:r>
        <w:rPr>
          <w:sz w:val="22"/>
        </w:rPr>
        <w:t xml:space="preserve">☐ </w:t>
      </w:r>
      <w:r>
        <w:rPr>
          <w:sz w:val="22"/>
        </w:rPr>
        <w:t>Loi 2024/017 (données personnelles)</w:t>
      </w:r>
    </w:p>
    <w:p>
      <w:pPr>
        <w:pStyle w:val="ListBullet"/>
      </w:pPr>
      <w:r>
        <w:rPr>
          <w:sz w:val="22"/>
        </w:rPr>
        <w:t xml:space="preserve">☐ </w:t>
      </w:r>
      <w:r>
        <w:rPr>
          <w:sz w:val="22"/>
        </w:rPr>
        <w:t>RGPD (Europe)</w:t>
      </w:r>
    </w:p>
    <w:p>
      <w:pPr>
        <w:pStyle w:val="ListBullet"/>
      </w:pPr>
      <w:r>
        <w:rPr>
          <w:sz w:val="22"/>
        </w:rPr>
        <w:t xml:space="preserve">☐ </w:t>
      </w:r>
      <w:r>
        <w:rPr>
          <w:sz w:val="22"/>
        </w:rPr>
        <w:t>ISO 27001</w:t>
      </w:r>
    </w:p>
    <w:p>
      <w:pPr>
        <w:pStyle w:val="ListBullet"/>
      </w:pPr>
      <w:r>
        <w:rPr>
          <w:sz w:val="22"/>
        </w:rPr>
        <w:t xml:space="preserve">☐ </w:t>
      </w:r>
      <w:r>
        <w:rPr>
          <w:sz w:val="22"/>
        </w:rPr>
        <w:t>PCI-DSS</w:t>
      </w:r>
    </w:p>
    <w:p>
      <w:pPr>
        <w:pStyle w:val="ListBullet"/>
      </w:pPr>
      <w:r>
        <w:rPr>
          <w:sz w:val="22"/>
        </w:rPr>
        <w:t xml:space="preserve">☐ </w:t>
      </w:r>
      <w:r>
        <w:rPr>
          <w:sz w:val="22"/>
        </w:rPr>
        <w:t>SWIFT CSP (banque)</w:t>
      </w:r>
    </w:p>
    <w:p>
      <w:pPr>
        <w:pStyle w:val="ListBullet"/>
      </w:pPr>
      <w:r>
        <w:rPr>
          <w:sz w:val="22"/>
        </w:rPr>
        <w:t xml:space="preserve">☐ </w:t>
      </w:r>
      <w:r>
        <w:rPr>
          <w:sz w:val="22"/>
        </w:rPr>
        <w:t>COBIT / ITIL</w:t>
      </w:r>
    </w:p>
    <w:p>
      <w:pPr>
        <w:pStyle w:val="ListBullet"/>
      </w:pPr>
      <w:r>
        <w:rPr>
          <w:sz w:val="22"/>
        </w:rPr>
        <w:t xml:space="preserve">☐ </w:t>
      </w:r>
      <w:r>
        <w:rPr>
          <w:sz w:val="22"/>
        </w:rPr>
        <w:t>Directive NIS2</w:t>
      </w:r>
    </w:p>
    <w:p>
      <w:pPr>
        <w:pStyle w:val="ListBullet"/>
      </w:pPr>
      <w:r>
        <w:rPr>
          <w:sz w:val="22"/>
        </w:rPr>
        <w:t xml:space="preserve">☐ </w:t>
      </w:r>
      <w:r>
        <w:rPr>
          <w:sz w:val="22"/>
        </w:rPr>
        <w:t>Autre réglementation sectorielle</w:t>
      </w:r>
    </w:p>
    <w:p>
      <w:r>
        <w:rPr>
          <w:b/>
          <w:color w:val="333333"/>
          <w:sz w:val="22"/>
        </w:rPr>
        <w:t xml:space="preserve">Budget estimé pour la prestation : </w:t>
      </w:r>
    </w:p>
    <w:p>
      <w:pPr>
        <w:pStyle w:val="ListBullet"/>
      </w:pPr>
      <w:r>
        <w:rPr>
          <w:sz w:val="22"/>
        </w:rPr>
        <w:t xml:space="preserve">☐ </w:t>
      </w:r>
      <w:r>
        <w:rPr>
          <w:sz w:val="22"/>
        </w:rPr>
        <w:t>Moins de 5 M FCFA</w:t>
      </w:r>
    </w:p>
    <w:p>
      <w:pPr>
        <w:pStyle w:val="ListBullet"/>
      </w:pPr>
      <w:r>
        <w:rPr>
          <w:sz w:val="22"/>
        </w:rPr>
        <w:t xml:space="preserve">☐ </w:t>
      </w:r>
      <w:r>
        <w:rPr>
          <w:sz w:val="22"/>
        </w:rPr>
        <w:t>5 à 20 M FCFA</w:t>
      </w:r>
    </w:p>
    <w:p>
      <w:pPr>
        <w:pStyle w:val="ListBullet"/>
      </w:pPr>
      <w:r>
        <w:rPr>
          <w:sz w:val="22"/>
        </w:rPr>
        <w:t xml:space="preserve">☐ </w:t>
      </w:r>
      <w:r>
        <w:rPr>
          <w:sz w:val="22"/>
        </w:rPr>
        <w:t>20 à 50 M FCFA</w:t>
      </w:r>
    </w:p>
    <w:p>
      <w:pPr>
        <w:pStyle w:val="ListBullet"/>
      </w:pPr>
      <w:r>
        <w:rPr>
          <w:sz w:val="22"/>
        </w:rPr>
        <w:t xml:space="preserve">☐ </w:t>
      </w:r>
      <w:r>
        <w:rPr>
          <w:sz w:val="22"/>
        </w:rPr>
        <w:t>50 à 150 M FCFA</w:t>
      </w:r>
    </w:p>
    <w:p>
      <w:pPr>
        <w:pStyle w:val="ListBullet"/>
      </w:pPr>
      <w:r>
        <w:rPr>
          <w:sz w:val="22"/>
        </w:rPr>
        <w:t xml:space="preserve">☐ </w:t>
      </w:r>
      <w:r>
        <w:rPr>
          <w:sz w:val="22"/>
        </w:rPr>
        <w:t>Plus de 150 M FCFA</w:t>
      </w:r>
    </w:p>
    <w:p>
      <w:pPr>
        <w:pStyle w:val="ListBullet"/>
      </w:pPr>
      <w:r>
        <w:rPr>
          <w:sz w:val="22"/>
        </w:rPr>
        <w:t xml:space="preserve">☐ </w:t>
      </w:r>
      <w:r>
        <w:rPr>
          <w:sz w:val="22"/>
        </w:rPr>
        <w:t>À chiffrer ensemble</w:t>
      </w:r>
    </w:p>
    <w:p>
      <w:pPr>
        <w:spacing w:before="240" w:after="80"/>
      </w:pPr>
      <w:r>
        <w:rPr>
          <w:b/>
          <w:color w:val="0B4D92"/>
          <w:sz w:val="36"/>
        </w:rPr>
        <w:t>3. Budget &amp; calendrier</w:t>
      </w:r>
    </w:p>
    <w:p>
      <w:r>
        <w:rPr>
          <w:b/>
          <w:color w:val="333333"/>
          <w:sz w:val="22"/>
        </w:rPr>
        <w:t xml:space="preserve">Budget estimé : </w:t>
      </w:r>
    </w:p>
    <w:p>
      <w:pPr>
        <w:pStyle w:val="ListBullet"/>
      </w:pPr>
      <w:r>
        <w:rPr>
          <w:sz w:val="22"/>
        </w:rPr>
        <w:t xml:space="preserve">☐ </w:t>
      </w:r>
      <w:r>
        <w:rPr>
          <w:sz w:val="22"/>
        </w:rPr>
        <w:t>Moins de 500 000 FCFA</w:t>
      </w:r>
    </w:p>
    <w:p>
      <w:pPr>
        <w:pStyle w:val="ListBullet"/>
      </w:pPr>
      <w:r>
        <w:rPr>
          <w:sz w:val="22"/>
        </w:rPr>
        <w:t xml:space="preserve">☐ </w:t>
      </w:r>
      <w:r>
        <w:rPr>
          <w:sz w:val="22"/>
        </w:rPr>
        <w:t>500 000 – 2 000 000 FCFA</w:t>
      </w:r>
    </w:p>
    <w:p>
      <w:pPr>
        <w:pStyle w:val="ListBullet"/>
      </w:pPr>
      <w:r>
        <w:rPr>
          <w:sz w:val="22"/>
        </w:rPr>
        <w:t xml:space="preserve">☐ </w:t>
      </w:r>
      <w:r>
        <w:rPr>
          <w:sz w:val="22"/>
        </w:rPr>
        <w:t>2 000 000 – 10 000 000 FCFA</w:t>
      </w:r>
    </w:p>
    <w:p>
      <w:pPr>
        <w:pStyle w:val="ListBullet"/>
      </w:pPr>
      <w:r>
        <w:rPr>
          <w:sz w:val="22"/>
        </w:rPr>
        <w:t xml:space="preserve">☐ </w:t>
      </w:r>
      <w:r>
        <w:rPr>
          <w:sz w:val="22"/>
        </w:rPr>
        <w:t>10 000 000 – 50 000 000 FCFA</w:t>
      </w:r>
    </w:p>
    <w:p>
      <w:pPr>
        <w:pStyle w:val="ListBullet"/>
      </w:pPr>
      <w:r>
        <w:rPr>
          <w:sz w:val="22"/>
        </w:rPr>
        <w:t xml:space="preserve">☐ </w:t>
      </w:r>
      <w:r>
        <w:rPr>
          <w:sz w:val="22"/>
        </w:rPr>
        <w:t>Plus de 50 000 000 FCFA</w:t>
      </w:r>
    </w:p>
    <w:p>
      <w:pPr>
        <w:pStyle w:val="ListBullet"/>
      </w:pPr>
      <w:r>
        <w:rPr>
          <w:sz w:val="22"/>
        </w:rPr>
        <w:t xml:space="preserve">☐ </w:t>
      </w:r>
      <w:r>
        <w:rPr>
          <w:sz w:val="22"/>
        </w:rPr>
        <w:t>À chiffrer ensemble</w:t>
      </w:r>
    </w:p>
    <w:p>
      <w:r>
        <w:rPr>
          <w:b/>
          <w:color w:val="333333"/>
          <w:sz w:val="22"/>
        </w:rPr>
        <w:t xml:space="preserve">Délai souhaité : </w:t>
      </w:r>
    </w:p>
    <w:p>
      <w:pPr>
        <w:pStyle w:val="ListBullet"/>
      </w:pPr>
      <w:r>
        <w:rPr>
          <w:sz w:val="22"/>
        </w:rPr>
        <w:t xml:space="preserve">☐ </w:t>
      </w:r>
      <w:r>
        <w:rPr>
          <w:sz w:val="22"/>
        </w:rPr>
        <w:t>Urgent (&lt; 2 semaines)</w:t>
      </w:r>
    </w:p>
    <w:p>
      <w:pPr>
        <w:pStyle w:val="ListBullet"/>
      </w:pPr>
      <w:r>
        <w:rPr>
          <w:sz w:val="22"/>
        </w:rPr>
        <w:t xml:space="preserve">☐ </w:t>
      </w:r>
      <w:r>
        <w:rPr>
          <w:sz w:val="22"/>
        </w:rPr>
        <w:t>Court terme (2–8 semaines)</w:t>
      </w:r>
    </w:p>
    <w:p>
      <w:pPr>
        <w:pStyle w:val="ListBullet"/>
      </w:pPr>
      <w:r>
        <w:rPr>
          <w:sz w:val="22"/>
        </w:rPr>
        <w:t xml:space="preserve">☐ </w:t>
      </w:r>
      <w:r>
        <w:rPr>
          <w:sz w:val="22"/>
        </w:rPr>
        <w:t>Moyen terme (2–6 mois)</w:t>
      </w:r>
    </w:p>
    <w:p>
      <w:pPr>
        <w:pStyle w:val="ListBullet"/>
      </w:pPr>
      <w:r>
        <w:rPr>
          <w:sz w:val="22"/>
        </w:rPr>
        <w:t xml:space="preserve">☐ </w:t>
      </w:r>
      <w:r>
        <w:rPr>
          <w:sz w:val="22"/>
        </w:rPr>
        <w:t>Long terme (&gt; 6 mois)</w:t>
      </w:r>
    </w:p>
    <w:p>
      <w:r>
        <w:rPr>
          <w:b/>
          <w:color w:val="333333"/>
          <w:sz w:val="22"/>
        </w:rPr>
        <w:t xml:space="preserve">Mode d'achat envisagé : </w:t>
      </w:r>
    </w:p>
    <w:p>
      <w:pPr>
        <w:pStyle w:val="ListBullet"/>
      </w:pPr>
      <w:r>
        <w:rPr>
          <w:sz w:val="22"/>
        </w:rPr>
        <w:t xml:space="preserve">☐ </w:t>
      </w:r>
      <w:r>
        <w:rPr>
          <w:sz w:val="22"/>
        </w:rPr>
        <w:t>Achat direct</w:t>
      </w:r>
    </w:p>
    <w:p>
      <w:pPr>
        <w:pStyle w:val="ListBullet"/>
      </w:pPr>
      <w:r>
        <w:rPr>
          <w:sz w:val="22"/>
        </w:rPr>
        <w:t xml:space="preserve">☐ </w:t>
      </w:r>
      <w:r>
        <w:rPr>
          <w:sz w:val="22"/>
        </w:rPr>
        <w:t>Abonnement / souscription</w:t>
      </w:r>
    </w:p>
    <w:p>
      <w:pPr>
        <w:pStyle w:val="ListBullet"/>
      </w:pPr>
      <w:r>
        <w:rPr>
          <w:sz w:val="22"/>
        </w:rPr>
        <w:t xml:space="preserve">☐ </w:t>
      </w:r>
      <w:r>
        <w:rPr>
          <w:sz w:val="22"/>
        </w:rPr>
        <w:t>Location / leasing</w:t>
      </w:r>
    </w:p>
    <w:p>
      <w:pPr>
        <w:pStyle w:val="ListBullet"/>
      </w:pPr>
      <w:r>
        <w:rPr>
          <w:sz w:val="22"/>
        </w:rPr>
        <w:t xml:space="preserve">☐ </w:t>
      </w:r>
      <w:r>
        <w:rPr>
          <w:sz w:val="22"/>
        </w:rPr>
        <w:t>Appel d'offres public</w:t>
      </w:r>
    </w:p>
    <w:p>
      <w:pPr>
        <w:pStyle w:val="ListBullet"/>
      </w:pPr>
      <w:r>
        <w:rPr>
          <w:sz w:val="22"/>
        </w:rPr>
        <w:t xml:space="preserve">☐ </w:t>
      </w:r>
      <w:r>
        <w:rPr>
          <w:sz w:val="22"/>
        </w:rPr>
        <w:t>À discuter</w:t>
      </w:r>
    </w:p>
    <w:p>
      <w:pPr>
        <w:spacing w:before="240" w:after="80"/>
      </w:pPr>
      <w:r>
        <w:rPr>
          <w:b/>
          <w:color w:val="0B4D92"/>
          <w:sz w:val="36"/>
        </w:rPr>
        <w:t>4. Précisions libres</w:t>
      </w:r>
    </w:p>
    <w:p>
      <w:r>
        <w:rPr>
          <w:b/>
          <w:color w:val="333333"/>
          <w:sz w:val="22"/>
        </w:rPr>
        <w:t xml:space="preserve">Contexte, contraintes, informations utiles : </w:t>
      </w:r>
    </w:p>
    <w:p>
      <w:pPr>
        <w:spacing w:after="0"/>
      </w:pPr>
      <w:r>
        <w:rPr>
          <w:sz w:val="22"/>
        </w:rPr>
        <w:t>______________________________________________________________________</w:t>
      </w:r>
    </w:p>
    <w:p>
      <w:pPr>
        <w:spacing w:after="0"/>
      </w:pPr>
      <w:r>
        <w:rPr>
          <w:sz w:val="22"/>
        </w:rPr>
        <w:t>______________________________________________________________________</w:t>
      </w:r>
    </w:p>
    <w:p>
      <w:pPr>
        <w:spacing w:after="0"/>
      </w:pPr>
      <w:r>
        <w:rPr>
          <w:sz w:val="22"/>
        </w:rPr>
        <w:t>______________________________________________________________________</w:t>
      </w:r>
    </w:p>
    <w:p>
      <w:pPr>
        <w:spacing w:after="0"/>
      </w:pPr>
      <w:r>
        <w:rPr>
          <w:sz w:val="22"/>
        </w:rPr>
        <w:t>______________________________________________________________________</w:t>
      </w:r>
    </w:p>
    <w:p>
      <w:pPr>
        <w:spacing w:before="240" w:after="80"/>
      </w:pPr>
      <w:r>
        <w:rPr>
          <w:b/>
          <w:color w:val="0B4D92"/>
          <w:sz w:val="36"/>
        </w:rPr>
        <w:t>5. Consentement</w:t>
      </w:r>
    </w:p>
    <w:p>
      <w:r>
        <w:rPr>
          <w:sz w:val="22"/>
        </w:rPr>
        <w:t xml:space="preserve">☐ </w:t>
      </w:r>
      <w:r>
        <w:rPr>
          <w:sz w:val="20"/>
        </w:rPr>
        <w:t>J'autorise ENIX SARL à traiter les informations fournies dans le cadre de ma demande, conformément à la loi camerounaise n° 2024/017 du 23 décembre 2024 relative à la protection des données à caractère personnel.</w:t>
      </w:r>
    </w:p>
    <w:p/>
    <w:p>
      <w:pPr>
        <w:jc w:val="center"/>
      </w:pPr>
      <w:r>
        <w:rPr>
          <w:color w:val="6C90B5"/>
          <w:sz w:val="18"/>
        </w:rPr>
        <w:t>ENIX SARL · Yaoundé – Douala – Cameroun · sales@enix.cm · +237 6 78 10 64 64 · www.enixcompany.com</w:t>
      </w:r>
    </w:p>
    <w:p>
      <w:pPr>
        <w:jc w:val="center"/>
      </w:pPr>
      <w:r>
        <w:rPr>
          <w:i/>
          <w:color w:val="6C90B5"/>
          <w:sz w:val="16"/>
        </w:rPr>
        <w:t>Ce formulaire, une fois rempli, peut être envoyé par email à sales@enix.cm. Vos données sont traitées conformément à la loi 2024/017.</w:t>
      </w:r>
    </w:p>
    <w:sectPr w:rsidR="00FC693F" w:rsidRPr="0006063C" w:rsidSect="00034616">
      <w:pgSz w:w="12240" w:h="15840"/>
      <w:pgMar w:top="1020" w:right="1134" w:bottom="102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